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Ultimate 360</w:t>
      </w:r>
    </w:p>
    <w:p>
      <w:pPr>
        <w:pStyle w:val="Subtitle"/>
      </w:pPr>
      <w:r>
        <w:t>REMAX Ultimate Agent Recruitment Guide</w:t>
      </w:r>
    </w:p>
    <w:p>
      <w:r>
        <w:rPr>
          <w:b/>
        </w:rPr>
        <w:t>We’ve got your back. From every angle.</w:t>
      </w:r>
    </w:p>
    <w:p>
      <w:r>
        <w:rPr>
          <w:b w:val="0"/>
        </w:rPr>
        <w:t>Your ambition deserves a brokerage invested in every dimension of your business. Ultimate 360 brings together RE/MAX Ultimate’s additional platforms, technology, training, offices and services in one comprehensive agent-support offering.</w:t>
      </w:r>
    </w:p>
    <w:p>
      <w:r>
        <w:rPr>
          <w:b w:val="0"/>
        </w:rPr>
        <w:t>This guide identifies the resources behind that commitment, what each one supports and how it can fit into your day-to-day work. Alongside the strength of RE/MAX, Ultimate continues investing in infrastructure and innovation to help you build a stronger business and prepare for what comes next.</w:t>
      </w:r>
    </w:p>
    <w:p>
      <w:pPr>
        <w:pStyle w:val="Heading2"/>
      </w:pPr>
      <w:r>
        <w:t>The support behind your business</w:t>
      </w:r>
    </w:p>
    <w:p>
      <w:r>
        <w:rPr>
          <w:b w:val="0"/>
        </w:rPr>
        <w:t>01   Visibility and opportunity</w:t>
      </w:r>
    </w:p>
    <w:p>
      <w:r>
        <w:rPr>
          <w:b w:val="0"/>
        </w:rPr>
        <w:t>02   Technology and client relationships</w:t>
      </w:r>
    </w:p>
    <w:p>
      <w:r>
        <w:rPr>
          <w:b w:val="0"/>
        </w:rPr>
        <w:t>03   Brokerage access and support</w:t>
      </w:r>
    </w:p>
    <w:p>
      <w:r>
        <w:rPr>
          <w:b w:val="0"/>
        </w:rPr>
        <w:t>04   Training and professional development</w:t>
      </w:r>
    </w:p>
    <w:p>
      <w:r>
        <w:rPr>
          <w:b w:val="0"/>
        </w:rPr>
        <w:t>05   Marketing execution</w:t>
      </w:r>
    </w:p>
    <w:p>
      <w:r>
        <w:rPr>
          <w:b w:val="0"/>
        </w:rPr>
        <w:t>06   Offices and workspace</w:t>
      </w:r>
    </w:p>
    <w:p>
      <w:r>
        <w:rPr>
          <w:b w:val="0"/>
        </w:rPr>
        <w:t>07   Onboarding and business development</w:t>
      </w:r>
    </w:p>
    <w:p>
      <w:r>
        <w:rPr>
          <w:b w:val="0"/>
        </w:rPr>
        <w:t>08   International connections</w:t>
      </w:r>
    </w:p>
    <w:p>
      <w:pPr>
        <w:pStyle w:val="Heading2"/>
      </w:pPr>
      <w:r>
        <w:t>An investment that keeps moving</w:t>
      </w:r>
    </w:p>
    <w:p>
      <w:r>
        <w:rPr>
          <w:b w:val="0"/>
        </w:rPr>
        <w:t>Markets and client expectations change. Our commitment is to keep strengthening the resources behind our agents, introducing useful technology and developing new opportunities for collaboration. Ultimate 360 is built around you and designed to keep moving forward.</w:t>
      </w:r>
    </w:p>
    <w:p>
      <w:r>
        <w:rPr>
          <w:b w:val="0"/>
        </w:rPr>
        <w:t>Sample recruitment copy • September 2026. Individual service access, package inclusions and supplier charges are confirmed with the brokerage.</w:t>
      </w:r>
    </w:p>
    <w:p>
      <w:r>
        <w:br w:type="page"/>
      </w:r>
    </w:p>
    <w:p>
      <w:pPr>
        <w:pStyle w:val="Heading1"/>
      </w:pPr>
      <w:r>
        <w:t>01 Visibility and opportunity</w:t>
      </w:r>
    </w:p>
    <w:p>
      <w:r>
        <w:rPr>
          <w:b/>
        </w:rPr>
        <w:t>More places for your expertise to be discovered</w:t>
      </w:r>
    </w:p>
    <w:p>
      <w:r>
        <w:rPr>
          <w:b w:val="0"/>
        </w:rPr>
        <w:t>Your digital presence should connect you with the people and property markets you want to serve. Ultimate invests in a brokerage website and dedicated residential, condominium and commercial platforms to give agents more focused ways to represent their expertise.</w:t>
      </w:r>
    </w:p>
    <w:p>
      <w:pPr>
        <w:pStyle w:val="Heading2"/>
      </w:pPr>
      <w:r>
        <w:t>RE/MAX Ultimate website</w:t>
      </w:r>
    </w:p>
    <w:p>
      <w:r>
        <w:rPr>
          <w:b/>
        </w:rPr>
        <w:t>Brokerage digital presence</w:t>
      </w:r>
    </w:p>
    <w:p>
      <w:r>
        <w:rPr>
          <w:b w:val="0"/>
        </w:rPr>
        <w:t>A custom-built brokerage website with property-search resources, customer tools and dedicated agent representation. It gives prospective clients a place to discover the brokerage, explore real estate and find an Ultimate professional.</w:t>
      </w:r>
    </w:p>
    <w:p>
      <w:pPr>
        <w:spacing w:after="100"/>
      </w:pPr>
      <w:r>
        <w:rPr>
          <w:b w:val="0"/>
        </w:rPr>
        <w:t>In practice  Use your brokerage profile as another professional destination when introducing yourself to prospective clients.</w:t>
      </w:r>
    </w:p>
    <w:p>
      <w:pPr>
        <w:spacing w:after="100"/>
      </w:pPr>
      <w:hyperlink r:id="rId11">
        <w:r>
          <w:rPr>
            <w:color w:val="174E83"/>
            <w:sz w:val="18"/>
          </w:rPr>
          <w:t>https://www.remaxultimate.com/</w:t>
        </w:r>
      </w:hyperlink>
    </w:p>
    <w:p>
      <w:pPr>
        <w:pStyle w:val="Heading2"/>
      </w:pPr>
      <w:r>
        <w:t>Toronto Homes for Sale</w:t>
      </w:r>
    </w:p>
    <w:p>
      <w:r>
        <w:rPr>
          <w:b/>
        </w:rPr>
        <w:t>Residential website and mobile app</w:t>
      </w:r>
    </w:p>
    <w:p>
      <w:r>
        <w:rPr>
          <w:b w:val="0"/>
        </w:rPr>
        <w:t>A client-focused residential platform available to all RE/MAX Ultimate agents. The website and mobile app give agents another resource for serving Toronto buyers and sellers and supporting their clients’ property search.</w:t>
      </w:r>
    </w:p>
    <w:p>
      <w:pPr>
        <w:spacing w:after="100"/>
      </w:pPr>
      <w:r>
        <w:rPr>
          <w:b w:val="0"/>
        </w:rPr>
        <w:t>In practice  Introduce residential clients to a property resource that they can use at home and on their phone while keeping your advice central to the process.</w:t>
      </w:r>
    </w:p>
    <w:p>
      <w:pPr>
        <w:spacing w:after="100"/>
      </w:pPr>
      <w:hyperlink r:id="rId12">
        <w:r>
          <w:rPr>
            <w:color w:val="174E83"/>
            <w:sz w:val="18"/>
          </w:rPr>
          <w:t>https://www.torontohomesforsale.com/</w:t>
        </w:r>
      </w:hyperlink>
    </w:p>
    <w:p>
      <w:pPr>
        <w:pStyle w:val="Heading2"/>
      </w:pPr>
      <w:r>
        <w:t>Condodigs.com</w:t>
      </w:r>
    </w:p>
    <w:p>
      <w:r>
        <w:rPr>
          <w:b/>
        </w:rPr>
        <w:t>Condominium market portal</w:t>
      </w:r>
    </w:p>
    <w:p>
      <w:r>
        <w:rPr>
          <w:b w:val="0"/>
        </w:rPr>
        <w:t>A dedicated client resource for Toronto’s condominium market. Its focused positioning supports agents who want to represent their condo expertise in a setting relevant to condominium buyers and sellers.</w:t>
      </w:r>
    </w:p>
    <w:p>
      <w:pPr>
        <w:spacing w:after="100"/>
      </w:pPr>
      <w:r>
        <w:rPr>
          <w:b w:val="0"/>
        </w:rPr>
        <w:t>In practice  Bring a condo-specific resource into conversations with clients whose search or sale centres on condominium property.</w:t>
      </w:r>
    </w:p>
    <w:p>
      <w:pPr>
        <w:spacing w:after="100"/>
      </w:pPr>
      <w:hyperlink r:id="rId13">
        <w:r>
          <w:rPr>
            <w:color w:val="174E83"/>
            <w:sz w:val="18"/>
          </w:rPr>
          <w:t>https://www.condodigs.com/</w:t>
        </w:r>
      </w:hyperlink>
    </w:p>
    <w:p>
      <w:pPr>
        <w:pStyle w:val="Heading2"/>
      </w:pPr>
      <w:r>
        <w:t>ICI For Sale</w:t>
      </w:r>
    </w:p>
    <w:p>
      <w:r>
        <w:rPr>
          <w:b/>
        </w:rPr>
        <w:t>Commercial real estate portal</w:t>
      </w:r>
    </w:p>
    <w:p>
      <w:r>
        <w:rPr>
          <w:b w:val="0"/>
        </w:rPr>
        <w:t>A commercial-focused portal supporting Ultimate’s specialist commercial agents and teams. It gives commercial real estate a distinct platform, with a focus appropriate to the clients and practitioners in that market.</w:t>
      </w:r>
    </w:p>
    <w:p>
      <w:pPr>
        <w:spacing w:after="100"/>
      </w:pPr>
      <w:r>
        <w:rPr>
          <w:b w:val="0"/>
        </w:rPr>
        <w:t>In practice  Support your commercial positioning with a platform dedicated to the sector you serve.</w:t>
      </w:r>
    </w:p>
    <w:p>
      <w:pPr>
        <w:spacing w:after="100"/>
      </w:pPr>
      <w:hyperlink r:id="rId14">
        <w:r>
          <w:rPr>
            <w:color w:val="174E83"/>
            <w:sz w:val="18"/>
          </w:rPr>
          <w:t>https://www.iciforsale.com/</w:t>
        </w:r>
      </w:hyperlink>
    </w:p>
    <w:p>
      <w:r>
        <w:br w:type="page"/>
      </w:r>
    </w:p>
    <w:p>
      <w:pPr>
        <w:pStyle w:val="Heading1"/>
      </w:pPr>
      <w:r>
        <w:t>02 Technology and client relationships</w:t>
      </w:r>
    </w:p>
    <w:p>
      <w:r>
        <w:rPr>
          <w:b/>
        </w:rPr>
        <w:t>A local technology option with practical tools for daily business</w:t>
      </w:r>
    </w:p>
    <w:p>
      <w:r>
        <w:rPr>
          <w:b w:val="0"/>
        </w:rPr>
        <w:t>Ultimate invests in REMARKETER as an additional website, customer relationship management and marketing option alongside the resources available through RE/MAX. The emphasis is on practical tools suited to local agents and their clients.</w:t>
      </w:r>
    </w:p>
    <w:p>
      <w:pPr>
        <w:pStyle w:val="Heading2"/>
      </w:pPr>
      <w:r>
        <w:t>REMARKETER agent websites</w:t>
      </w:r>
    </w:p>
    <w:p>
      <w:r>
        <w:rPr>
          <w:b/>
        </w:rPr>
        <w:t>Personal digital presence</w:t>
      </w:r>
    </w:p>
    <w:p>
      <w:r>
        <w:rPr>
          <w:b w:val="0"/>
        </w:rPr>
        <w:t>An agent website option within the REMARKETER offering, supporting your professional identity and giving clients a destination for your real estate business.</w:t>
      </w:r>
    </w:p>
    <w:p>
      <w:pPr>
        <w:spacing w:after="100"/>
      </w:pPr>
      <w:r>
        <w:rPr>
          <w:b w:val="0"/>
        </w:rPr>
        <w:t>In practice  Make your website part of your introduction, marketing materials and client conversations.</w:t>
      </w:r>
    </w:p>
    <w:p>
      <w:pPr>
        <w:pStyle w:val="Heading2"/>
      </w:pPr>
      <w:r>
        <w:t>REMARKETER CRM</w:t>
      </w:r>
    </w:p>
    <w:p>
      <w:r>
        <w:rPr>
          <w:b/>
        </w:rPr>
        <w:t>Contact and relationship management</w:t>
      </w:r>
    </w:p>
    <w:p>
      <w:r>
        <w:rPr>
          <w:b w:val="0"/>
        </w:rPr>
        <w:t>Customer relationship management tools to organize your contacts and support consistent follow-up. A structured contact record helps you keep prospective clients and existing relationships in view.</w:t>
      </w:r>
    </w:p>
    <w:p>
      <w:pPr>
        <w:spacing w:after="100"/>
      </w:pPr>
      <w:r>
        <w:rPr>
          <w:b w:val="0"/>
        </w:rPr>
        <w:t>In practice  Build follow-up into your routine after a conversation, enquiry or open house.</w:t>
      </w:r>
    </w:p>
    <w:p>
      <w:pPr>
        <w:pStyle w:val="Heading2"/>
      </w:pPr>
      <w:r>
        <w:t>REMARKETER marketing tools</w:t>
      </w:r>
    </w:p>
    <w:p>
      <w:r>
        <w:rPr>
          <w:b/>
        </w:rPr>
        <w:t>Client communication and promotion</w:t>
      </w:r>
    </w:p>
    <w:p>
      <w:r>
        <w:rPr>
          <w:b w:val="0"/>
        </w:rPr>
        <w:t>Marketing tools that support how you communicate with clients and promote your business. They form part of the broader REMARKETER website and CRM offering available through Ultimate’s investment.</w:t>
      </w:r>
    </w:p>
    <w:p>
      <w:pPr>
        <w:spacing w:after="100"/>
      </w:pPr>
      <w:r>
        <w:rPr>
          <w:b w:val="0"/>
        </w:rPr>
        <w:t>In practice  Discuss your marketing needs with the brokerage and select the available tools that fit your approach.</w:t>
      </w:r>
    </w:p>
    <w:p>
      <w:r>
        <w:br w:type="page"/>
      </w:r>
    </w:p>
    <w:p>
      <w:pPr>
        <w:pStyle w:val="Heading1"/>
      </w:pPr>
      <w:r>
        <w:t>02 Tools for client engagement</w:t>
      </w:r>
    </w:p>
    <w:p>
      <w:r>
        <w:rPr>
          <w:b/>
        </w:rPr>
        <w:t>Practical support for introductions and property conversations</w:t>
      </w:r>
    </w:p>
    <w:p>
      <w:pPr>
        <w:pStyle w:val="Heading2"/>
      </w:pPr>
      <w:r>
        <w:t>Digital business cards</w:t>
      </w:r>
    </w:p>
    <w:p>
      <w:r>
        <w:rPr>
          <w:b/>
        </w:rPr>
        <w:t>Professional introductions</w:t>
      </w:r>
    </w:p>
    <w:p>
      <w:r>
        <w:rPr>
          <w:b w:val="0"/>
        </w:rPr>
        <w:t>Digital business cards for Ultimate agents provide a convenient way to share professional contact information and make it easier for a new connection to find you again.</w:t>
      </w:r>
    </w:p>
    <w:p>
      <w:pPr>
        <w:spacing w:after="100"/>
      </w:pPr>
      <w:r>
        <w:rPr>
          <w:b w:val="0"/>
        </w:rPr>
        <w:t>In practice  Share your digital business card when meeting a prospect, attending an event or introducing yourself online.</w:t>
      </w:r>
    </w:p>
    <w:p>
      <w:pPr>
        <w:pStyle w:val="Heading2"/>
      </w:pPr>
      <w:r>
        <w:t>Open house management</w:t>
      </w:r>
    </w:p>
    <w:p>
      <w:r>
        <w:rPr>
          <w:b/>
        </w:rPr>
        <w:t>Visitor engagement and follow-up</w:t>
      </w:r>
    </w:p>
    <w:p>
      <w:r>
        <w:rPr>
          <w:b w:val="0"/>
        </w:rPr>
        <w:t>Open house management tools support the organization of visitor engagement and the follow-up that turns a brief meeting into a longer conversation.</w:t>
      </w:r>
    </w:p>
    <w:p>
      <w:pPr>
        <w:spacing w:after="100"/>
      </w:pPr>
      <w:r>
        <w:rPr>
          <w:b w:val="0"/>
        </w:rPr>
        <w:t>In practice  Use the open house workflow to stay organized around the people you meet and your next contact with them.</w:t>
      </w:r>
    </w:p>
    <w:p>
      <w:pPr>
        <w:pStyle w:val="Heading2"/>
      </w:pPr>
      <w:r>
        <w:t>Instant CMA</w:t>
      </w:r>
    </w:p>
    <w:p>
      <w:r>
        <w:rPr>
          <w:b/>
        </w:rPr>
        <w:t>Comparative market analysis</w:t>
      </w:r>
    </w:p>
    <w:p>
      <w:r>
        <w:rPr>
          <w:b w:val="0"/>
        </w:rPr>
        <w:t>An instant comparative market analysis tool helps you prepare for conversations about property value. It supports your analysis; your local knowledge and professional judgment remain essential to interpreting the result.</w:t>
      </w:r>
    </w:p>
    <w:p>
      <w:pPr>
        <w:spacing w:after="100"/>
      </w:pPr>
      <w:r>
        <w:rPr>
          <w:b w:val="0"/>
        </w:rPr>
        <w:t>In practice  Prepare an initial market discussion, then review the information in the context of the property and current market.</w:t>
      </w:r>
    </w:p>
    <w:p>
      <w:r>
        <w:rPr>
          <w:b w:val="0"/>
        </w:rPr>
        <w:t>Your brokerage package determines the specific REMARKETER services available to you. Review access, setup and any optional charges with Ultimate.</w:t>
      </w:r>
    </w:p>
    <w:p>
      <w:r>
        <w:br w:type="page"/>
      </w:r>
    </w:p>
    <w:p>
      <w:pPr>
        <w:pStyle w:val="Heading1"/>
      </w:pPr>
      <w:r>
        <w:t>03 Brokerage access and support</w:t>
      </w:r>
    </w:p>
    <w:p>
      <w:r>
        <w:rPr>
          <w:b/>
        </w:rPr>
        <w:t>Your brokerage resources within easy reach</w:t>
      </w:r>
    </w:p>
    <w:p>
      <w:r>
        <w:rPr>
          <w:b w:val="0"/>
        </w:rPr>
        <w:t>Tools are more useful when you know where to find them and who can help. Ultimate combines convenient digital access with management support so agents can make fuller use of the resources behind their business.</w:t>
      </w:r>
    </w:p>
    <w:p>
      <w:pPr>
        <w:pStyle w:val="Heading2"/>
      </w:pPr>
      <w:r>
        <w:t>MyREMAXUltimate portal</w:t>
      </w:r>
    </w:p>
    <w:p>
      <w:r>
        <w:rPr>
          <w:b/>
        </w:rPr>
        <w:t>Brokerage resource access</w:t>
      </w:r>
    </w:p>
    <w:p>
      <w:r>
        <w:rPr>
          <w:b w:val="0"/>
        </w:rPr>
        <w:t>A dedicated portal designed to make brokerage resources easier to find and use. It provides an online destination for agents seeking access to the support and information available through Ultimate.</w:t>
      </w:r>
    </w:p>
    <w:p>
      <w:pPr>
        <w:spacing w:after="100"/>
      </w:pPr>
      <w:r>
        <w:rPr>
          <w:b w:val="0"/>
        </w:rPr>
        <w:t>In practice  Make the portal your starting point when looking for a brokerage resource.</w:t>
      </w:r>
    </w:p>
    <w:p>
      <w:pPr>
        <w:pStyle w:val="Heading2"/>
      </w:pPr>
      <w:r>
        <w:t>MyREMAXUltimate AI-powered mobile app</w:t>
      </w:r>
    </w:p>
    <w:p>
      <w:r>
        <w:rPr>
          <w:b/>
        </w:rPr>
        <w:t>Mobile access to brokerage resources</w:t>
      </w:r>
    </w:p>
    <w:p>
      <w:r>
        <w:rPr>
          <w:b w:val="0"/>
        </w:rPr>
        <w:t>An AI-based mobile app designed to make access to brokerage resources and support more convenient while agents are working away from their desk.</w:t>
      </w:r>
    </w:p>
    <w:p>
      <w:pPr>
        <w:spacing w:after="100"/>
      </w:pPr>
      <w:r>
        <w:rPr>
          <w:b w:val="0"/>
        </w:rPr>
        <w:t>In practice  Access brokerage resources from your phone between appointments or while working remotely.</w:t>
      </w:r>
    </w:p>
    <w:p>
      <w:pPr>
        <w:pStyle w:val="Heading2"/>
      </w:pPr>
      <w:r>
        <w:t>Management support</w:t>
      </w:r>
    </w:p>
    <w:p>
      <w:r>
        <w:rPr>
          <w:b/>
        </w:rPr>
        <w:t>People behind the platforms</w:t>
      </w:r>
    </w:p>
    <w:p>
      <w:r>
        <w:rPr>
          <w:b w:val="0"/>
        </w:rPr>
        <w:t>Management support helps agents navigate the brokerage’s resources and continue developing their business. It connects the technology and learning offering with people who can help agents put it into practice.</w:t>
      </w:r>
    </w:p>
    <w:p>
      <w:pPr>
        <w:spacing w:after="100"/>
      </w:pPr>
      <w:r>
        <w:rPr>
          <w:b w:val="0"/>
        </w:rPr>
        <w:t>In practice  Discuss which resources fit your business and where you need help getting started.</w:t>
      </w:r>
    </w:p>
    <w:p>
      <w:r>
        <w:br w:type="page"/>
      </w:r>
    </w:p>
    <w:p>
      <w:pPr>
        <w:pStyle w:val="Heading1"/>
      </w:pPr>
      <w:r>
        <w:t>04 Training and professional development</w:t>
      </w:r>
    </w:p>
    <w:p>
      <w:r>
        <w:rPr>
          <w:b/>
        </w:rPr>
        <w:t>Learn in person and continue on your own schedule</w:t>
      </w:r>
    </w:p>
    <w:p>
      <w:r>
        <w:rPr>
          <w:b w:val="0"/>
        </w:rPr>
        <w:t>Ultimate’s investment in development includes ongoing live training and a proprietary online learning platform. Agents have opportunities to learn with others and continue learning from home.</w:t>
      </w:r>
    </w:p>
    <w:p>
      <w:pPr>
        <w:pStyle w:val="Heading2"/>
      </w:pPr>
      <w:r>
        <w:t>Live training events and sessions</w:t>
      </w:r>
    </w:p>
    <w:p>
      <w:r>
        <w:rPr>
          <w:b/>
        </w:rPr>
        <w:t>Ongoing professional development</w:t>
      </w:r>
    </w:p>
    <w:p>
      <w:r>
        <w:rPr>
          <w:b w:val="0"/>
        </w:rPr>
        <w:t>Regular training events and sessions support continued learning and practical skill development. The current training calendar identifies the sessions, presenters and formats available.</w:t>
      </w:r>
    </w:p>
    <w:p>
      <w:pPr>
        <w:spacing w:after="100"/>
      </w:pPr>
      <w:r>
        <w:rPr>
          <w:b w:val="0"/>
        </w:rPr>
        <w:t>In practice  Choose sessions that address your current business priorities and bring questions from your own practice.</w:t>
      </w:r>
    </w:p>
    <w:p>
      <w:pPr>
        <w:pStyle w:val="Heading2"/>
      </w:pPr>
      <w:r>
        <w:t>RE/MAX Ultimate online learning platform</w:t>
      </w:r>
    </w:p>
    <w:p>
      <w:r>
        <w:rPr>
          <w:b/>
        </w:rPr>
        <w:t>Proprietary on-demand learning</w:t>
      </w:r>
    </w:p>
    <w:p>
      <w:r>
        <w:rPr>
          <w:b w:val="0"/>
        </w:rPr>
        <w:t>An online learning platform created by RE/MAX Ultimate for its agents. It allows agents to continue learning at home and revisit available material at a convenient time, with management support behind the experience.</w:t>
      </w:r>
    </w:p>
    <w:p>
      <w:pPr>
        <w:spacing w:after="100"/>
      </w:pPr>
      <w:r>
        <w:rPr>
          <w:b w:val="0"/>
        </w:rPr>
        <w:t>In practice  Build learning into your weekly routine and return to relevant material when you need a refresher.</w:t>
      </w:r>
    </w:p>
    <w:p>
      <w:r>
        <w:br w:type="page"/>
      </w:r>
    </w:p>
    <w:p>
      <w:pPr>
        <w:pStyle w:val="Heading1"/>
      </w:pPr>
      <w:r>
        <w:t>05 Marketing execution</w:t>
      </w:r>
    </w:p>
    <w:p>
      <w:r>
        <w:rPr>
          <w:b/>
        </w:rPr>
        <w:t>Support for the materials and campaigns behind your business</w:t>
      </w:r>
    </w:p>
    <w:p>
      <w:r>
        <w:rPr>
          <w:b w:val="0"/>
        </w:rPr>
        <w:t>Ultimate has established special arrangements with marketing suppliers so agents can access print and digital services through the brokerage. This gives agents a practical place to turn when they need help executing their marketing.</w:t>
      </w:r>
    </w:p>
    <w:p>
      <w:pPr>
        <w:pStyle w:val="Heading2"/>
      </w:pPr>
      <w:r>
        <w:t>Print marketing supplier arrangements</w:t>
      </w:r>
    </w:p>
    <w:p>
      <w:r>
        <w:rPr>
          <w:b/>
        </w:rPr>
        <w:t>Access to print services</w:t>
      </w:r>
    </w:p>
    <w:p>
      <w:r>
        <w:rPr>
          <w:b w:val="0"/>
        </w:rPr>
        <w:t>Brokerage-arranged supplier relationships support agents’ print marketing needs. Available products, pricing and production timelines can be reviewed with the brokerage.</w:t>
      </w:r>
    </w:p>
    <w:p>
      <w:pPr>
        <w:spacing w:after="100"/>
      </w:pPr>
      <w:r>
        <w:rPr>
          <w:b w:val="0"/>
        </w:rPr>
        <w:t>In practice  Bring your print requirements to the brokerage and identify the appropriate supplier and ordering process.</w:t>
      </w:r>
    </w:p>
    <w:p>
      <w:pPr>
        <w:pStyle w:val="Heading2"/>
      </w:pPr>
      <w:r>
        <w:t>Digital marketing supplier arrangements</w:t>
      </w:r>
    </w:p>
    <w:p>
      <w:r>
        <w:rPr>
          <w:b/>
        </w:rPr>
        <w:t>Access to digital services</w:t>
      </w:r>
    </w:p>
    <w:p>
      <w:r>
        <w:rPr>
          <w:b w:val="0"/>
        </w:rPr>
        <w:t>Supplier arrangements extend to digital marketing, providing a route to additional services when an agent needs help beyond the tools they use themselves.</w:t>
      </w:r>
    </w:p>
    <w:p>
      <w:pPr>
        <w:spacing w:after="100"/>
      </w:pPr>
      <w:r>
        <w:rPr>
          <w:b w:val="0"/>
        </w:rPr>
        <w:t>In practice  Discuss the scope of your campaign and which supplier services are appropriate before placing an order.</w:t>
      </w:r>
    </w:p>
    <w:p>
      <w:pPr>
        <w:pStyle w:val="Heading2"/>
      </w:pPr>
      <w:r>
        <w:t>In-house access to marketing support</w:t>
      </w:r>
    </w:p>
    <w:p>
      <w:r>
        <w:rPr>
          <w:b/>
        </w:rPr>
        <w:t>Convenient coordination</w:t>
      </w:r>
    </w:p>
    <w:p>
      <w:r>
        <w:rPr>
          <w:b w:val="0"/>
        </w:rPr>
        <w:t>Access to marketing support through the brokerage helps agents find the relevant print or digital supplier arrangement and understand how to get started.</w:t>
      </w:r>
    </w:p>
    <w:p>
      <w:pPr>
        <w:spacing w:after="100"/>
      </w:pPr>
      <w:r>
        <w:rPr>
          <w:b w:val="0"/>
        </w:rPr>
        <w:t>In practice  Use brokerage support to clarify the service, cost and next step for your marketing request.</w:t>
      </w:r>
    </w:p>
    <w:p>
      <w:r>
        <w:br w:type="page"/>
      </w:r>
    </w:p>
    <w:p>
      <w:pPr>
        <w:pStyle w:val="Heading1"/>
      </w:pPr>
      <w:r>
        <w:t>06 Offices and workspace</w:t>
      </w:r>
    </w:p>
    <w:p>
      <w:r>
        <w:rPr>
          <w:b/>
        </w:rPr>
        <w:t>Six Toronto locations supporting your GTA business</w:t>
      </w:r>
    </w:p>
    <w:p>
      <w:r>
        <w:rPr>
          <w:b w:val="0"/>
        </w:rPr>
        <w:t>Ultimate combines its digital investment with accessible physical offices and modern equipment. Choose a convenient location to connect with the brokerage and discuss the workspace and client-meeting facilities available to you.</w:t>
      </w:r>
    </w:p>
    <w:tbl>
      <w:tblPr>
        <w:tblW w:type="auto" w:w="0"/>
        <w:tblLayout w:type="fixed"/>
        <w:tblLook w:firstColumn="1" w:firstRow="1" w:lastColumn="0" w:lastRow="0" w:noHBand="0" w:noVBand="1" w:val="04A0"/>
      </w:tblPr>
      <w:tblGrid>
        <w:gridCol w:w="1872"/>
        <w:gridCol w:w="5400"/>
        <w:gridCol w:w="1584"/>
      </w:tblGrid>
      <w:tr>
        <w:tc>
          <w:tcPr>
            <w:tcW w:type="dxa" w:w="3331"/>
            <w:tcBorders>
              <w:top w:val="single" w:sz="4" w:color="D9D9D9"/>
              <w:left w:val="single" w:sz="4" w:color="D9D9D9"/>
              <w:bottom w:val="single" w:sz="4" w:color="D9D9D9"/>
              <w:right w:val="single" w:sz="4" w:color="D9D9D9"/>
            </w:tcBorders>
            <w:tcMar>
              <w:top w:w="110" w:type="dxa"/>
              <w:left w:w="110" w:type="dxa"/>
              <w:bottom w:w="110" w:type="dxa"/>
              <w:right w:w="110" w:type="dxa"/>
            </w:tcMar>
            <w:shd w:fill="123353"/>
          </w:tcPr>
          <w:p>
            <w:pPr>
              <w:spacing w:after="40"/>
            </w:pPr>
            <w:r>
              <w:rPr>
                <w:b/>
                <w:color w:val="FFFFFF"/>
                <w:sz w:val="18"/>
              </w:rPr>
              <w:t>Office</w:t>
            </w:r>
          </w:p>
        </w:tc>
        <w:tc>
          <w:tcPr>
            <w:tcW w:type="dxa" w:w="3331"/>
            <w:tcBorders>
              <w:top w:val="single" w:sz="4" w:color="D9D9D9"/>
              <w:left w:val="single" w:sz="4" w:color="D9D9D9"/>
              <w:bottom w:val="single" w:sz="4" w:color="D9D9D9"/>
              <w:right w:val="single" w:sz="4" w:color="D9D9D9"/>
            </w:tcBorders>
            <w:tcMar>
              <w:top w:w="110" w:type="dxa"/>
              <w:left w:w="110" w:type="dxa"/>
              <w:bottom w:w="110" w:type="dxa"/>
              <w:right w:w="110" w:type="dxa"/>
            </w:tcMar>
            <w:shd w:fill="123353"/>
          </w:tcPr>
          <w:p>
            <w:pPr>
              <w:spacing w:after="40"/>
            </w:pPr>
            <w:r>
              <w:rPr>
                <w:b/>
                <w:color w:val="FFFFFF"/>
                <w:sz w:val="18"/>
              </w:rPr>
              <w:t>Address</w:t>
            </w:r>
          </w:p>
        </w:tc>
        <w:tc>
          <w:tcPr>
            <w:tcW w:type="dxa" w:w="3331"/>
            <w:tcBorders>
              <w:top w:val="single" w:sz="4" w:color="D9D9D9"/>
              <w:left w:val="single" w:sz="4" w:color="D9D9D9"/>
              <w:bottom w:val="single" w:sz="4" w:color="D9D9D9"/>
              <w:right w:val="single" w:sz="4" w:color="D9D9D9"/>
            </w:tcBorders>
            <w:tcMar>
              <w:top w:w="110" w:type="dxa"/>
              <w:left w:w="110" w:type="dxa"/>
              <w:bottom w:w="110" w:type="dxa"/>
              <w:right w:w="110" w:type="dxa"/>
            </w:tcMar>
            <w:shd w:fill="123353"/>
          </w:tcPr>
          <w:p>
            <w:pPr>
              <w:spacing w:after="40"/>
            </w:pPr>
            <w:r>
              <w:rPr>
                <w:b/>
                <w:color w:val="FFFFFF"/>
                <w:sz w:val="18"/>
              </w:rPr>
              <w:t>Telephone</w:t>
            </w:r>
          </w:p>
        </w:tc>
      </w:tr>
      <w:tr>
        <w:tc>
          <w:tcPr>
            <w:tcW w:type="dxa" w:w="1872"/>
            <w:tcBorders>
              <w:top w:val="single" w:sz="4" w:color="D9D9D9"/>
              <w:left w:val="single" w:sz="4" w:color="D9D9D9"/>
              <w:bottom w:val="single" w:sz="4" w:color="D9D9D9"/>
              <w:right w:val="single" w:sz="4" w:color="D9D9D9"/>
            </w:tcBorders>
            <w:tcMar>
              <w:top w:w="110" w:type="dxa"/>
              <w:left w:w="110" w:type="dxa"/>
              <w:bottom w:w="110" w:type="dxa"/>
              <w:right w:w="110" w:type="dxa"/>
            </w:tcMar>
            <w:shd w:fill="F0F4F8"/>
          </w:tcPr>
          <w:p>
            <w:pPr>
              <w:spacing w:after="40"/>
            </w:pPr>
            <w:r>
              <w:rPr>
                <w:b w:val="0"/>
                <w:color w:val="000000"/>
                <w:sz w:val="18"/>
              </w:rPr>
              <w:t>Bayview</w:t>
            </w:r>
          </w:p>
        </w:tc>
        <w:tc>
          <w:tcPr>
            <w:tcW w:type="dxa" w:w="5400"/>
            <w:tcBorders>
              <w:top w:val="single" w:sz="4" w:color="D9D9D9"/>
              <w:left w:val="single" w:sz="4" w:color="D9D9D9"/>
              <w:bottom w:val="single" w:sz="4" w:color="D9D9D9"/>
              <w:right w:val="single" w:sz="4" w:color="D9D9D9"/>
            </w:tcBorders>
            <w:tcMar>
              <w:top w:w="110" w:type="dxa"/>
              <w:left w:w="110" w:type="dxa"/>
              <w:bottom w:w="110" w:type="dxa"/>
              <w:right w:w="110" w:type="dxa"/>
            </w:tcMar>
            <w:shd w:fill="F0F4F8"/>
          </w:tcPr>
          <w:p>
            <w:pPr>
              <w:spacing w:after="40"/>
            </w:pPr>
            <w:r>
              <w:rPr>
                <w:b w:val="0"/>
                <w:color w:val="000000"/>
                <w:sz w:val="18"/>
              </w:rPr>
              <w:t>1739 Bayview Avenue</w:t>
              <w:br/>
              <w:t>Toronto, ON M4G 3C1</w:t>
            </w:r>
          </w:p>
        </w:tc>
        <w:tc>
          <w:tcPr>
            <w:tcW w:type="dxa" w:w="1584"/>
            <w:tcBorders>
              <w:top w:val="single" w:sz="4" w:color="D9D9D9"/>
              <w:left w:val="single" w:sz="4" w:color="D9D9D9"/>
              <w:bottom w:val="single" w:sz="4" w:color="D9D9D9"/>
              <w:right w:val="single" w:sz="4" w:color="D9D9D9"/>
            </w:tcBorders>
            <w:tcMar>
              <w:top w:w="110" w:type="dxa"/>
              <w:left w:w="110" w:type="dxa"/>
              <w:bottom w:w="110" w:type="dxa"/>
              <w:right w:w="110" w:type="dxa"/>
            </w:tcMar>
            <w:shd w:fill="F0F4F8"/>
          </w:tcPr>
          <w:p>
            <w:pPr>
              <w:spacing w:after="40"/>
            </w:pPr>
            <w:r>
              <w:rPr>
                <w:b w:val="0"/>
                <w:color w:val="000000"/>
                <w:sz w:val="18"/>
              </w:rPr>
              <w:t>416-487-5131</w:t>
            </w:r>
          </w:p>
        </w:tc>
      </w:tr>
      <w:tr>
        <w:tc>
          <w:tcPr>
            <w:tcW w:type="dxa" w:w="1872"/>
            <w:tcBorders>
              <w:top w:val="single" w:sz="4" w:color="D9D9D9"/>
              <w:left w:val="single" w:sz="4" w:color="D9D9D9"/>
              <w:bottom w:val="single" w:sz="4" w:color="D9D9D9"/>
              <w:right w:val="single" w:sz="4" w:color="D9D9D9"/>
            </w:tcBorders>
            <w:tcMar>
              <w:top w:w="110" w:type="dxa"/>
              <w:left w:w="110" w:type="dxa"/>
              <w:bottom w:w="110" w:type="dxa"/>
              <w:right w:w="110" w:type="dxa"/>
            </w:tcMar>
            <w:shd w:fill="FFFFFF"/>
          </w:tcPr>
          <w:p>
            <w:pPr>
              <w:spacing w:after="40"/>
            </w:pPr>
            <w:r>
              <w:rPr>
                <w:b w:val="0"/>
                <w:color w:val="000000"/>
                <w:sz w:val="18"/>
              </w:rPr>
              <w:t>Yorkville</w:t>
            </w:r>
          </w:p>
        </w:tc>
        <w:tc>
          <w:tcPr>
            <w:tcW w:type="dxa" w:w="5400"/>
            <w:tcBorders>
              <w:top w:val="single" w:sz="4" w:color="D9D9D9"/>
              <w:left w:val="single" w:sz="4" w:color="D9D9D9"/>
              <w:bottom w:val="single" w:sz="4" w:color="D9D9D9"/>
              <w:right w:val="single" w:sz="4" w:color="D9D9D9"/>
            </w:tcBorders>
            <w:tcMar>
              <w:top w:w="110" w:type="dxa"/>
              <w:left w:w="110" w:type="dxa"/>
              <w:bottom w:w="110" w:type="dxa"/>
              <w:right w:w="110" w:type="dxa"/>
            </w:tcMar>
            <w:shd w:fill="FFFFFF"/>
          </w:tcPr>
          <w:p>
            <w:pPr>
              <w:spacing w:after="40"/>
            </w:pPr>
            <w:r>
              <w:rPr>
                <w:b w:val="0"/>
                <w:color w:val="000000"/>
                <w:sz w:val="18"/>
              </w:rPr>
              <w:t>1170 Bay Street, Suite 110</w:t>
              <w:br/>
              <w:t>Toronto, ON M5S 2B4</w:t>
            </w:r>
          </w:p>
        </w:tc>
        <w:tc>
          <w:tcPr>
            <w:tcW w:type="dxa" w:w="1584"/>
            <w:tcBorders>
              <w:top w:val="single" w:sz="4" w:color="D9D9D9"/>
              <w:left w:val="single" w:sz="4" w:color="D9D9D9"/>
              <w:bottom w:val="single" w:sz="4" w:color="D9D9D9"/>
              <w:right w:val="single" w:sz="4" w:color="D9D9D9"/>
            </w:tcBorders>
            <w:tcMar>
              <w:top w:w="110" w:type="dxa"/>
              <w:left w:w="110" w:type="dxa"/>
              <w:bottom w:w="110" w:type="dxa"/>
              <w:right w:w="110" w:type="dxa"/>
            </w:tcMar>
            <w:shd w:fill="FFFFFF"/>
          </w:tcPr>
          <w:p>
            <w:pPr>
              <w:spacing w:after="40"/>
            </w:pPr>
            <w:r>
              <w:rPr>
                <w:b w:val="0"/>
                <w:color w:val="000000"/>
                <w:sz w:val="18"/>
              </w:rPr>
              <w:t>416-640-2661</w:t>
            </w:r>
          </w:p>
        </w:tc>
      </w:tr>
      <w:tr>
        <w:tc>
          <w:tcPr>
            <w:tcW w:type="dxa" w:w="1872"/>
            <w:tcBorders>
              <w:top w:val="single" w:sz="4" w:color="D9D9D9"/>
              <w:left w:val="single" w:sz="4" w:color="D9D9D9"/>
              <w:bottom w:val="single" w:sz="4" w:color="D9D9D9"/>
              <w:right w:val="single" w:sz="4" w:color="D9D9D9"/>
            </w:tcBorders>
            <w:tcMar>
              <w:top w:w="110" w:type="dxa"/>
              <w:left w:w="110" w:type="dxa"/>
              <w:bottom w:w="110" w:type="dxa"/>
              <w:right w:w="110" w:type="dxa"/>
            </w:tcMar>
            <w:shd w:fill="F0F4F8"/>
          </w:tcPr>
          <w:p>
            <w:pPr>
              <w:spacing w:after="40"/>
            </w:pPr>
            <w:r>
              <w:rPr>
                <w:b w:val="0"/>
                <w:color w:val="000000"/>
                <w:sz w:val="18"/>
              </w:rPr>
              <w:t>Trinity Bellwoods</w:t>
            </w:r>
          </w:p>
        </w:tc>
        <w:tc>
          <w:tcPr>
            <w:tcW w:type="dxa" w:w="5400"/>
            <w:tcBorders>
              <w:top w:val="single" w:sz="4" w:color="D9D9D9"/>
              <w:left w:val="single" w:sz="4" w:color="D9D9D9"/>
              <w:bottom w:val="single" w:sz="4" w:color="D9D9D9"/>
              <w:right w:val="single" w:sz="4" w:color="D9D9D9"/>
            </w:tcBorders>
            <w:tcMar>
              <w:top w:w="110" w:type="dxa"/>
              <w:left w:w="110" w:type="dxa"/>
              <w:bottom w:w="110" w:type="dxa"/>
              <w:right w:w="110" w:type="dxa"/>
            </w:tcMar>
            <w:shd w:fill="F0F4F8"/>
          </w:tcPr>
          <w:p>
            <w:pPr>
              <w:spacing w:after="40"/>
            </w:pPr>
            <w:r>
              <w:rPr>
                <w:b w:val="0"/>
                <w:color w:val="000000"/>
                <w:sz w:val="18"/>
              </w:rPr>
              <w:t>836 Dundas Street West</w:t>
              <w:br/>
              <w:t>Toronto, ON M6J 1V5</w:t>
            </w:r>
          </w:p>
        </w:tc>
        <w:tc>
          <w:tcPr>
            <w:tcW w:type="dxa" w:w="1584"/>
            <w:tcBorders>
              <w:top w:val="single" w:sz="4" w:color="D9D9D9"/>
              <w:left w:val="single" w:sz="4" w:color="D9D9D9"/>
              <w:bottom w:val="single" w:sz="4" w:color="D9D9D9"/>
              <w:right w:val="single" w:sz="4" w:color="D9D9D9"/>
            </w:tcBorders>
            <w:tcMar>
              <w:top w:w="110" w:type="dxa"/>
              <w:left w:w="110" w:type="dxa"/>
              <w:bottom w:w="110" w:type="dxa"/>
              <w:right w:w="110" w:type="dxa"/>
            </w:tcMar>
            <w:shd w:fill="F0F4F8"/>
          </w:tcPr>
          <w:p>
            <w:pPr>
              <w:spacing w:after="40"/>
            </w:pPr>
            <w:r>
              <w:rPr>
                <w:b w:val="0"/>
                <w:color w:val="000000"/>
                <w:sz w:val="18"/>
              </w:rPr>
              <w:t>416-530-1080</w:t>
            </w:r>
          </w:p>
        </w:tc>
      </w:tr>
      <w:tr>
        <w:tc>
          <w:tcPr>
            <w:tcW w:type="dxa" w:w="1872"/>
            <w:tcBorders>
              <w:top w:val="single" w:sz="4" w:color="D9D9D9"/>
              <w:left w:val="single" w:sz="4" w:color="D9D9D9"/>
              <w:bottom w:val="single" w:sz="4" w:color="D9D9D9"/>
              <w:right w:val="single" w:sz="4" w:color="D9D9D9"/>
            </w:tcBorders>
            <w:tcMar>
              <w:top w:w="110" w:type="dxa"/>
              <w:left w:w="110" w:type="dxa"/>
              <w:bottom w:w="110" w:type="dxa"/>
              <w:right w:w="110" w:type="dxa"/>
            </w:tcMar>
            <w:shd w:fill="FFFFFF"/>
          </w:tcPr>
          <w:p>
            <w:pPr>
              <w:spacing w:after="40"/>
            </w:pPr>
            <w:r>
              <w:rPr>
                <w:b w:val="0"/>
                <w:color w:val="000000"/>
                <w:sz w:val="18"/>
              </w:rPr>
              <w:t>Etobicoke</w:t>
            </w:r>
          </w:p>
        </w:tc>
        <w:tc>
          <w:tcPr>
            <w:tcW w:type="dxa" w:w="5400"/>
            <w:tcBorders>
              <w:top w:val="single" w:sz="4" w:color="D9D9D9"/>
              <w:left w:val="single" w:sz="4" w:color="D9D9D9"/>
              <w:bottom w:val="single" w:sz="4" w:color="D9D9D9"/>
              <w:right w:val="single" w:sz="4" w:color="D9D9D9"/>
            </w:tcBorders>
            <w:tcMar>
              <w:top w:w="110" w:type="dxa"/>
              <w:left w:w="110" w:type="dxa"/>
              <w:bottom w:w="110" w:type="dxa"/>
              <w:right w:w="110" w:type="dxa"/>
            </w:tcMar>
            <w:shd w:fill="FFFFFF"/>
          </w:tcPr>
          <w:p>
            <w:pPr>
              <w:spacing w:after="40"/>
            </w:pPr>
            <w:r>
              <w:rPr>
                <w:b w:val="0"/>
                <w:color w:val="000000"/>
                <w:sz w:val="18"/>
              </w:rPr>
              <w:t>2121 Lakeshore Boulevard West, Unit 1</w:t>
              <w:br/>
              <w:t>Toronto, ON M8V 4E9</w:t>
            </w:r>
          </w:p>
        </w:tc>
        <w:tc>
          <w:tcPr>
            <w:tcW w:type="dxa" w:w="1584"/>
            <w:tcBorders>
              <w:top w:val="single" w:sz="4" w:color="D9D9D9"/>
              <w:left w:val="single" w:sz="4" w:color="D9D9D9"/>
              <w:bottom w:val="single" w:sz="4" w:color="D9D9D9"/>
              <w:right w:val="single" w:sz="4" w:color="D9D9D9"/>
            </w:tcBorders>
            <w:tcMar>
              <w:top w:w="110" w:type="dxa"/>
              <w:left w:w="110" w:type="dxa"/>
              <w:bottom w:w="110" w:type="dxa"/>
              <w:right w:w="110" w:type="dxa"/>
            </w:tcMar>
            <w:shd w:fill="FFFFFF"/>
          </w:tcPr>
          <w:p>
            <w:pPr>
              <w:spacing w:after="40"/>
            </w:pPr>
            <w:r>
              <w:rPr>
                <w:b w:val="0"/>
                <w:color w:val="000000"/>
                <w:sz w:val="18"/>
              </w:rPr>
              <w:t>416-874-0931</w:t>
            </w:r>
          </w:p>
        </w:tc>
      </w:tr>
      <w:tr>
        <w:tc>
          <w:tcPr>
            <w:tcW w:type="dxa" w:w="1872"/>
            <w:tcBorders>
              <w:top w:val="single" w:sz="4" w:color="D9D9D9"/>
              <w:left w:val="single" w:sz="4" w:color="D9D9D9"/>
              <w:bottom w:val="single" w:sz="4" w:color="D9D9D9"/>
              <w:right w:val="single" w:sz="4" w:color="D9D9D9"/>
            </w:tcBorders>
            <w:tcMar>
              <w:top w:w="110" w:type="dxa"/>
              <w:left w:w="110" w:type="dxa"/>
              <w:bottom w:w="110" w:type="dxa"/>
              <w:right w:w="110" w:type="dxa"/>
            </w:tcMar>
            <w:shd w:fill="F0F4F8"/>
          </w:tcPr>
          <w:p>
            <w:pPr>
              <w:spacing w:after="40"/>
            </w:pPr>
            <w:r>
              <w:rPr>
                <w:b w:val="0"/>
                <w:color w:val="000000"/>
                <w:sz w:val="18"/>
              </w:rPr>
              <w:t>Corso Italia</w:t>
            </w:r>
          </w:p>
        </w:tc>
        <w:tc>
          <w:tcPr>
            <w:tcW w:type="dxa" w:w="5400"/>
            <w:tcBorders>
              <w:top w:val="single" w:sz="4" w:color="D9D9D9"/>
              <w:left w:val="single" w:sz="4" w:color="D9D9D9"/>
              <w:bottom w:val="single" w:sz="4" w:color="D9D9D9"/>
              <w:right w:val="single" w:sz="4" w:color="D9D9D9"/>
            </w:tcBorders>
            <w:tcMar>
              <w:top w:w="110" w:type="dxa"/>
              <w:left w:w="110" w:type="dxa"/>
              <w:bottom w:w="110" w:type="dxa"/>
              <w:right w:w="110" w:type="dxa"/>
            </w:tcMar>
            <w:shd w:fill="F0F4F8"/>
          </w:tcPr>
          <w:p>
            <w:pPr>
              <w:spacing w:after="40"/>
            </w:pPr>
            <w:r>
              <w:rPr>
                <w:b w:val="0"/>
                <w:color w:val="000000"/>
                <w:sz w:val="18"/>
              </w:rPr>
              <w:t>1192 St. Clair Avenue West</w:t>
              <w:br/>
              <w:t>Toronto, ON M6E 1B4</w:t>
            </w:r>
          </w:p>
        </w:tc>
        <w:tc>
          <w:tcPr>
            <w:tcW w:type="dxa" w:w="1584"/>
            <w:tcBorders>
              <w:top w:val="single" w:sz="4" w:color="D9D9D9"/>
              <w:left w:val="single" w:sz="4" w:color="D9D9D9"/>
              <w:bottom w:val="single" w:sz="4" w:color="D9D9D9"/>
              <w:right w:val="single" w:sz="4" w:color="D9D9D9"/>
            </w:tcBorders>
            <w:tcMar>
              <w:top w:w="110" w:type="dxa"/>
              <w:left w:w="110" w:type="dxa"/>
              <w:bottom w:w="110" w:type="dxa"/>
              <w:right w:w="110" w:type="dxa"/>
            </w:tcMar>
            <w:shd w:fill="F0F4F8"/>
          </w:tcPr>
          <w:p>
            <w:pPr>
              <w:spacing w:after="40"/>
            </w:pPr>
            <w:r>
              <w:rPr>
                <w:b w:val="0"/>
                <w:color w:val="000000"/>
                <w:sz w:val="18"/>
              </w:rPr>
              <w:t>416-656-3500</w:t>
            </w:r>
          </w:p>
        </w:tc>
      </w:tr>
      <w:tr>
        <w:tc>
          <w:tcPr>
            <w:tcW w:type="dxa" w:w="1872"/>
            <w:tcBorders>
              <w:top w:val="single" w:sz="4" w:color="D9D9D9"/>
              <w:left w:val="single" w:sz="4" w:color="D9D9D9"/>
              <w:bottom w:val="single" w:sz="4" w:color="D9D9D9"/>
              <w:right w:val="single" w:sz="4" w:color="D9D9D9"/>
            </w:tcBorders>
            <w:tcMar>
              <w:top w:w="110" w:type="dxa"/>
              <w:left w:w="110" w:type="dxa"/>
              <w:bottom w:w="110" w:type="dxa"/>
              <w:right w:w="110" w:type="dxa"/>
            </w:tcMar>
            <w:shd w:fill="FFFFFF"/>
          </w:tcPr>
          <w:p>
            <w:pPr>
              <w:spacing w:after="40"/>
            </w:pPr>
            <w:r>
              <w:rPr>
                <w:b w:val="0"/>
                <w:color w:val="000000"/>
                <w:sz w:val="18"/>
              </w:rPr>
              <w:t>Harbour Front</w:t>
            </w:r>
          </w:p>
        </w:tc>
        <w:tc>
          <w:tcPr>
            <w:tcW w:type="dxa" w:w="5400"/>
            <w:tcBorders>
              <w:top w:val="single" w:sz="4" w:color="D9D9D9"/>
              <w:left w:val="single" w:sz="4" w:color="D9D9D9"/>
              <w:bottom w:val="single" w:sz="4" w:color="D9D9D9"/>
              <w:right w:val="single" w:sz="4" w:color="D9D9D9"/>
            </w:tcBorders>
            <w:tcMar>
              <w:top w:w="110" w:type="dxa"/>
              <w:left w:w="110" w:type="dxa"/>
              <w:bottom w:w="110" w:type="dxa"/>
              <w:right w:w="110" w:type="dxa"/>
            </w:tcMar>
            <w:shd w:fill="FFFFFF"/>
          </w:tcPr>
          <w:p>
            <w:pPr>
              <w:spacing w:after="40"/>
            </w:pPr>
            <w:r>
              <w:rPr>
                <w:b w:val="0"/>
                <w:color w:val="000000"/>
                <w:sz w:val="18"/>
              </w:rPr>
              <w:t>45 Harbour Square</w:t>
              <w:br/>
              <w:t>Toronto, ON M5J 2G4</w:t>
            </w:r>
          </w:p>
        </w:tc>
        <w:tc>
          <w:tcPr>
            <w:tcW w:type="dxa" w:w="1584"/>
            <w:tcBorders>
              <w:top w:val="single" w:sz="4" w:color="D9D9D9"/>
              <w:left w:val="single" w:sz="4" w:color="D9D9D9"/>
              <w:bottom w:val="single" w:sz="4" w:color="D9D9D9"/>
              <w:right w:val="single" w:sz="4" w:color="D9D9D9"/>
            </w:tcBorders>
            <w:tcMar>
              <w:top w:w="110" w:type="dxa"/>
              <w:left w:w="110" w:type="dxa"/>
              <w:bottom w:w="110" w:type="dxa"/>
              <w:right w:w="110" w:type="dxa"/>
            </w:tcMar>
            <w:shd w:fill="FFFFFF"/>
          </w:tcPr>
          <w:p>
            <w:pPr>
              <w:spacing w:after="40"/>
            </w:pPr>
            <w:r>
              <w:rPr>
                <w:b w:val="0"/>
                <w:color w:val="000000"/>
                <w:sz w:val="18"/>
              </w:rPr>
              <w:t>416-203-6636</w:t>
            </w:r>
          </w:p>
        </w:tc>
      </w:tr>
    </w:tbl>
    <w:p>
      <w:pPr>
        <w:spacing w:before="200"/>
      </w:pPr>
      <w:r>
        <w:rPr>
          <w:b w:val="0"/>
        </w:rPr>
        <w:t>Office directory source: https://www.remaxultimate.com/teams</w:t>
      </w:r>
    </w:p>
    <w:p>
      <w:r>
        <w:rPr>
          <w:b w:val="0"/>
        </w:rPr>
        <w:t>Visit or call your preferred office to discuss workspace access, equipment and client-meeting arrangements.</w:t>
      </w:r>
    </w:p>
    <w:p>
      <w:r>
        <w:br w:type="page"/>
      </w:r>
    </w:p>
    <w:p>
      <w:pPr>
        <w:pStyle w:val="Heading1"/>
      </w:pPr>
      <w:r>
        <w:t>07 Onboarding and business development</w:t>
      </w:r>
    </w:p>
    <w:p>
      <w:r>
        <w:rPr>
          <w:b/>
        </w:rPr>
        <w:t>Support for your next stage of business</w:t>
      </w:r>
    </w:p>
    <w:p>
      <w:r>
        <w:rPr>
          <w:b w:val="0"/>
        </w:rPr>
        <w:t>Whether you are joining the brokerage or exploring how to build a team, Ultimate’s support is designed to help you understand your options and move forward with a clearer plan.</w:t>
      </w:r>
    </w:p>
    <w:p>
      <w:pPr>
        <w:pStyle w:val="Heading2"/>
      </w:pPr>
      <w:r>
        <w:t>Structured agent onboarding</w:t>
      </w:r>
    </w:p>
    <w:p>
      <w:r>
        <w:rPr>
          <w:b/>
        </w:rPr>
        <w:t>Transition and orientation</w:t>
      </w:r>
    </w:p>
    <w:p>
      <w:r>
        <w:rPr>
          <w:b w:val="0"/>
        </w:rPr>
        <w:t>An onboarding process designed to help agents settle in smoothly, become familiar with brokerage resources and get productive. It introduces the support environment behind the Ultimate 360 offering.</w:t>
      </w:r>
    </w:p>
    <w:p>
      <w:pPr>
        <w:spacing w:after="100"/>
      </w:pPr>
      <w:r>
        <w:rPr>
          <w:b w:val="0"/>
        </w:rPr>
        <w:t>In practice  Work with the brokerage to identify the setup, orientation and learning steps relevant to your business.</w:t>
      </w:r>
    </w:p>
    <w:p>
      <w:pPr>
        <w:pStyle w:val="Heading2"/>
      </w:pPr>
      <w:r>
        <w:t>Team development support</w:t>
      </w:r>
    </w:p>
    <w:p>
      <w:r>
        <w:rPr>
          <w:b/>
        </w:rPr>
        <w:t>Support for agents and team leaders</w:t>
      </w:r>
    </w:p>
    <w:p>
      <w:r>
        <w:rPr>
          <w:b w:val="0"/>
        </w:rPr>
        <w:t>Ultimate’s published team offering includes guidance, systems, training and contracts for team leaders and members. Its leadership also supports conversations about building a team or pursuing an incorporated brokerage model.</w:t>
      </w:r>
    </w:p>
    <w:p>
      <w:pPr>
        <w:spacing w:after="100"/>
      </w:pPr>
      <w:r>
        <w:rPr>
          <w:b w:val="0"/>
        </w:rPr>
        <w:t>In practice  Discuss your intended business structure with leadership and review the resources and requirements that apply.</w:t>
      </w:r>
    </w:p>
    <w:p>
      <w:pPr>
        <w:spacing w:after="100"/>
      </w:pPr>
      <w:hyperlink r:id="rId15">
        <w:r>
          <w:rPr>
            <w:color w:val="174E83"/>
            <w:sz w:val="18"/>
          </w:rPr>
          <w:t>https://www.remaxultimate.com/teams</w:t>
        </w:r>
      </w:hyperlink>
    </w:p>
    <w:p>
      <w:r>
        <w:br w:type="page"/>
      </w:r>
    </w:p>
    <w:p>
      <w:pPr>
        <w:pStyle w:val="Heading1"/>
      </w:pPr>
      <w:r>
        <w:t>08 International connections</w:t>
      </w:r>
    </w:p>
    <w:p>
      <w:r>
        <w:rPr>
          <w:b/>
        </w:rPr>
        <w:t>A local base with an expanding international outlook</w:t>
      </w:r>
    </w:p>
    <w:p>
      <w:r>
        <w:rPr>
          <w:b w:val="0"/>
        </w:rPr>
        <w:t>Ultimate is investing in connections beyond Canada. The initial focus includes its presence and affiliation in Greece, with further international collaboration platforms planned.</w:t>
      </w:r>
    </w:p>
    <w:p>
      <w:pPr>
        <w:pStyle w:val="Heading2"/>
      </w:pPr>
      <w:r>
        <w:t>Greece affiliation portal</w:t>
      </w:r>
    </w:p>
    <w:p>
      <w:r>
        <w:rPr>
          <w:b/>
        </w:rPr>
        <w:t>International initiative</w:t>
      </w:r>
    </w:p>
    <w:p>
      <w:r>
        <w:rPr>
          <w:b w:val="0"/>
        </w:rPr>
        <w:t>A newly started portal supports Ultimate’s special affiliation and presence in Greece. It provides a foundation for developing relationships and collaboration connected to that market.</w:t>
      </w:r>
    </w:p>
    <w:p>
      <w:pPr>
        <w:spacing w:after="100"/>
      </w:pPr>
      <w:r>
        <w:rPr>
          <w:b w:val="0"/>
        </w:rPr>
        <w:t>In practice  Speak with the brokerage about the current scope of the Greece initiative and how it may relate to your clients’ interests.</w:t>
      </w:r>
    </w:p>
    <w:p>
      <w:pPr>
        <w:pStyle w:val="Heading2"/>
      </w:pPr>
      <w:r>
        <w:t>Further international collaboration platforms</w:t>
      </w:r>
    </w:p>
    <w:p>
      <w:r>
        <w:rPr>
          <w:b/>
        </w:rPr>
        <w:t>Planned expansion</w:t>
      </w:r>
    </w:p>
    <w:p>
      <w:r>
        <w:rPr>
          <w:b w:val="0"/>
        </w:rPr>
        <w:t>Ultimate intends to build additional collaborative platforms internationally. This is part of the brokerage’s continuing investment direction, with specific future markets and services to be announced.</w:t>
      </w:r>
    </w:p>
    <w:p>
      <w:pPr>
        <w:spacing w:after="100"/>
      </w:pPr>
      <w:r>
        <w:rPr>
          <w:b w:val="0"/>
        </w:rPr>
        <w:t>In practice  Follow brokerage updates as additional international initiatives are introduced.</w:t>
      </w:r>
    </w:p>
    <w:p>
      <w:r>
        <w:rPr>
          <w:b w:val="0"/>
        </w:rPr>
        <w:t>Further international platforms are planned. No future launch date or referral volume is promised.</w:t>
      </w:r>
    </w:p>
    <w:p>
      <w:r>
        <w:br w:type="page"/>
      </w:r>
    </w:p>
    <w:p>
      <w:pPr>
        <w:pStyle w:val="Heading1"/>
      </w:pPr>
      <w:r>
        <w:t>Your RE/MAX foundation</w:t>
      </w:r>
    </w:p>
    <w:p>
      <w:r>
        <w:rPr>
          <w:b w:val="0"/>
        </w:rPr>
        <w:t>Ultimate 360 builds on an established network and existing operational tools. These resources are presented separately so you can clearly see where Ultimate adds its own investment.</w:t>
      </w:r>
    </w:p>
    <w:p>
      <w:pPr>
        <w:pStyle w:val="Heading2"/>
      </w:pPr>
      <w:r>
        <w:t>MAXTech powered by BoldTrail</w:t>
      </w:r>
    </w:p>
    <w:p>
      <w:r>
        <w:rPr>
          <w:b w:val="0"/>
        </w:rPr>
        <w:t>The current name of the RE/MAX technology offering previously known as MAX/Tech powered by kvCORE. It belongs in the RE/MAX foundation of the package; REMARKETER represents Ultimate’s additional technology option.</w:t>
      </w:r>
    </w:p>
    <w:p>
      <w:pPr>
        <w:pStyle w:val="Heading2"/>
      </w:pPr>
      <w:r>
        <w:t>BrokerBay</w:t>
      </w:r>
    </w:p>
    <w:p>
      <w:r>
        <w:rPr>
          <w:b w:val="0"/>
        </w:rPr>
        <w:t>A showing-management platform identified in Ultimate’s existing tool set. It supports the operational side of showing coordination and is presented separately from Ultimate’s additional investments.</w:t>
      </w:r>
    </w:p>
    <w:p>
      <w:r>
        <w:rPr>
          <w:b w:val="0"/>
        </w:rPr>
        <w:t>BoldTrail naming source: https://join.remax.com/technology/</w:t>
      </w:r>
    </w:p>
    <w:p>
      <w:pPr>
        <w:pStyle w:val="Heading1"/>
      </w:pPr>
      <w:r>
        <w:t>Explore the offering in a career conversation</w:t>
      </w:r>
    </w:p>
    <w:p>
      <w:r>
        <w:rPr>
          <w:b w:val="0"/>
        </w:rPr>
        <w:t>Ask us to demonstrate the platforms relevant to your market, walk you through the onboarding process and show you the resources that fit your next stage of business.</w:t>
      </w:r>
    </w:p>
    <w:p>
      <w:r>
        <w:rPr>
          <w:b w:val="0"/>
        </w:rPr>
        <w:t>• Review your agent representation and relevant market portals.</w:t>
      </w:r>
    </w:p>
    <w:p>
      <w:r>
        <w:rPr>
          <w:b w:val="0"/>
        </w:rPr>
        <w:t>• See REMARKETER, MyREMAXUltimate and the online learning platform.</w:t>
      </w:r>
    </w:p>
    <w:p>
      <w:r>
        <w:rPr>
          <w:b w:val="0"/>
        </w:rPr>
        <w:t>• Explore an office and the current training calendar.</w:t>
      </w:r>
    </w:p>
    <w:p>
      <w:r>
        <w:rPr>
          <w:b w:val="0"/>
        </w:rPr>
        <w:t>• Confirm your package, optional services and next steps with management.</w:t>
      </w:r>
    </w:p>
    <w:p>
      <w:r>
        <w:rPr>
          <w:b w:val="0"/>
        </w:rPr>
        <w:t>Visit https://www.remaxultimate.com/ or contact the Bayview office at 416-487-5131.</w:t>
      </w:r>
    </w:p>
    <w:p>
      <w:r>
        <w:rPr>
          <w:b/>
        </w:rPr>
        <w:t>Built around you. Always moving you forward.</w:t>
      </w:r>
    </w:p>
    <w:p>
      <w:r>
        <w:br w:type="page"/>
      </w:r>
    </w:p>
    <w:p>
      <w:pPr>
        <w:pStyle w:val="Heading1"/>
      </w:pPr>
      <w:r>
        <w:t>Internal publication checklist</w:t>
      </w:r>
    </w:p>
    <w:p>
      <w:r>
        <w:rPr>
          <w:b w:val="0"/>
        </w:rPr>
        <w:t>This page is for brokerage review and should be removed from the public recruitment document. The preceding pages are sample agent-facing copy based on the supplied offering and the brokerage’s public office and team information.</w:t>
      </w:r>
    </w:p>
    <w:p>
      <w:pPr>
        <w:pStyle w:val="Heading2"/>
      </w:pPr>
      <w:r>
        <w:t>Platform identity and launch status</w:t>
      </w:r>
    </w:p>
    <w:p>
      <w:r>
        <w:rPr>
          <w:b w:val="0"/>
        </w:rPr>
        <w:t>Official public URLs for Toronto Homes for Sale, Condodigs.com and ICI For Sale have been supplied. Confirm agent access and enquiry routing for these portals, and the official URLs and live access for MyREMAXUltimate, the online learning platform and the Greece portal. Confirm the MyREMAXUltimate mobile app’s supported AI functions and app-store availability.</w:t>
      </w:r>
    </w:p>
    <w:p>
      <w:pPr>
        <w:pStyle w:val="Heading2"/>
      </w:pPr>
      <w:r>
        <w:t>Package inclusions and charges</w:t>
      </w:r>
    </w:p>
    <w:p>
      <w:r>
        <w:rPr>
          <w:b w:val="0"/>
        </w:rPr>
        <w:t>Identify what is included, subsidized, optional or separately paid. Confirm REMARKETER entitlements, setup fees, supplier charges and any service limits. Do not describe all services as free without this detail.</w:t>
      </w:r>
    </w:p>
    <w:p>
      <w:pPr>
        <w:pStyle w:val="Heading2"/>
      </w:pPr>
      <w:r>
        <w:t>Lead handling</w:t>
      </w:r>
    </w:p>
    <w:p>
      <w:r>
        <w:rPr>
          <w:b w:val="0"/>
        </w:rPr>
        <w:t>Document enquiry routing, agent eligibility, ownership and follow-up expectations for each portal. The sample describes opportunities and intended benefits; it does not promise a volume or quality of leads.</w:t>
      </w:r>
    </w:p>
    <w:p>
      <w:pPr>
        <w:pStyle w:val="Heading2"/>
      </w:pPr>
      <w:r>
        <w:t>Marketing services</w:t>
      </w:r>
    </w:p>
    <w:p>
      <w:r>
        <w:rPr>
          <w:b w:val="0"/>
        </w:rPr>
        <w:t>Add approved supplier names, products and services, ordering contacts, turnaround times and any negotiated pricing that may be published.</w:t>
      </w:r>
    </w:p>
    <w:p>
      <w:pPr>
        <w:pStyle w:val="Heading2"/>
      </w:pPr>
      <w:r>
        <w:t>Training and onboarding</w:t>
      </w:r>
    </w:p>
    <w:p>
      <w:r>
        <w:rPr>
          <w:b w:val="0"/>
        </w:rPr>
        <w:t>Add the learning platform name and URL, sample course titles, upcoming events, onboarding stages and named support contacts. Do not imply around-the-clock staffed support unless it exists.</w:t>
      </w:r>
    </w:p>
    <w:p>
      <w:pPr>
        <w:pStyle w:val="Heading2"/>
      </w:pPr>
      <w:r>
        <w:t>Office and international details</w:t>
      </w:r>
    </w:p>
    <w:p>
      <w:r>
        <w:rPr>
          <w:b w:val="0"/>
        </w:rPr>
        <w:t>Reconfirm the six office entries and access arrangements. Add the official Greece portal identity and present further international collaboration as planned until launched.</w:t>
      </w:r>
    </w:p>
    <w:p>
      <w:pPr>
        <w:pStyle w:val="Heading2"/>
      </w:pPr>
      <w:r>
        <w:t>Evidence for the recruitment package</w:t>
      </w:r>
    </w:p>
    <w:p>
      <w:r>
        <w:rPr>
          <w:b w:val="0"/>
        </w:rPr>
        <w:t>Pair the relevant sections with approved screenshots, a current training calendar, an onboarding walkthrough and an agent demonstration. Obtain consent before adding testimonials or performance results.</w:t>
      </w:r>
    </w:p>
    <w:p>
      <w:r>
        <w:rPr>
          <w:b w:val="0"/>
        </w:rPr>
        <w:t>Source notes: offering details were supplied by the brokerage representative in this brief. The office directory and team-support description were checked against https://www.remaxultimate.com/teams on 22 September 2026. Product naming was checked against https://join.remax.com/technology/.</w:t>
      </w:r>
    </w:p>
    <w:sectPr w:rsidR="00FC693F" w:rsidRPr="0006063C" w:rsidSect="00034616">
      <w:headerReference w:type="default" r:id="rId9"/>
      <w:footerReference w:type="default" r:id="rId10"/>
      <w:pgSz w:w="12240" w:h="15840"/>
      <w:pgMar w:top="979"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ULTIMATE 360  •  Sample recruitment guide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RE/MAX ULTIMATE                         ULTIMATE 360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000000"/>
      <w:sz w:val="46"/>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40"/>
      <w:contextualSpacing/>
    </w:pPr>
    <w:rPr>
      <w:rFonts w:asciiTheme="majorHAnsi" w:eastAsiaTheme="majorEastAsia" w:hAnsiTheme="majorHAnsi" w:cstheme="majorBidi" w:ascii="Arial" w:hAnsi="Arial"/>
      <w:color w:val="000000"/>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remaxultimate.com/" TargetMode="External"/><Relationship Id="rId12" Type="http://schemas.openxmlformats.org/officeDocument/2006/relationships/hyperlink" Target="https://www.torontohomesforsale.com/" TargetMode="External"/><Relationship Id="rId13" Type="http://schemas.openxmlformats.org/officeDocument/2006/relationships/hyperlink" Target="https://www.condodigs.com/" TargetMode="External"/><Relationship Id="rId14" Type="http://schemas.openxmlformats.org/officeDocument/2006/relationships/hyperlink" Target="https://www.iciforsale.com/" TargetMode="External"/><Relationship Id="rId15" Type="http://schemas.openxmlformats.org/officeDocument/2006/relationships/hyperlink" Target="https://www.remaxultimate.com/tea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